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20"/>
      </w:pPr>
    </w:p>
    <w:p>
      <w:pPr>
        <w:spacing w:after="160"/>
      </w:pPr>
      <w:r>
        <w:rPr>
          <w:rFonts w:ascii="Calibri" w:hAnsi="Calibri"/>
          <w:b/>
          <w:i w:val="0"/>
          <w:color w:val="2E74B5"/>
          <w:sz w:val="18"/>
        </w:rPr>
        <w:t>GEROSTATS STUDENT PRACTICE PACK</w:t>
      </w:r>
    </w:p>
    <w:p>
      <w:pPr>
        <w:spacing w:after="140"/>
      </w:pPr>
      <w:r>
        <w:rPr>
          <w:rFonts w:ascii="Calibri" w:hAnsi="Calibri"/>
          <w:b/>
          <w:i w:val="0"/>
          <w:color w:val="1F4D78"/>
          <w:sz w:val="56"/>
        </w:rPr>
        <w:t>See exactly how referencing works</w:t>
      </w:r>
    </w:p>
    <w:p>
      <w:pPr>
        <w:spacing w:after="440"/>
      </w:pPr>
      <w:r>
        <w:rPr>
          <w:rFonts w:ascii="Calibri" w:hAnsi="Calibri"/>
          <w:b w:val="0"/>
          <w:i w:val="0"/>
          <w:color w:val="5D6873"/>
          <w:sz w:val="26"/>
        </w:rPr>
        <w:t>One worked mini-review, annotated line by line for EndNote and Zotero</w:t>
      </w:r>
    </w:p>
    <w:p>
      <w:pPr>
        <w:spacing w:before="100" w:after="160"/>
        <w:ind w:left="202" w:right="115"/>
        <w:shd w:fill="E8EEF5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THE USEFUL RULE  </w:t>
      </w:r>
      <w:r>
        <w:rPr>
          <w:rFonts w:ascii="Calibri" w:hAnsi="Calibri"/>
          <w:b w:val="0"/>
          <w:i w:val="0"/>
          <w:color w:val="17212B"/>
          <w:sz w:val="21"/>
        </w:rPr>
        <w:t>If a reasonable reader could ask ‘How do you know?’ and your answer comes from a source, cite that source at the claim.</w:t>
      </w:r>
    </w:p>
    <w:p>
      <w:pPr>
        <w:pStyle w:val="Heading1"/>
      </w:pPr>
      <w:r>
        <w:t>What this pack teaches</w:t>
      </w:r>
    </w:p>
    <w:p>
      <w:pPr>
        <w:spacing w:after="140"/>
      </w:pPr>
      <w:r>
        <w:rPr>
          <w:rFonts w:ascii="Calibri" w:hAnsi="Calibri"/>
          <w:b/>
          <w:i w:val="0"/>
          <w:color w:val="2E74B5"/>
          <w:sz w:val="22"/>
        </w:rPr>
        <w:t xml:space="preserve">1 · DECIDE  </w:t>
      </w:r>
      <w:r>
        <w:rPr>
          <w:rFonts w:ascii="Calibri" w:hAnsi="Calibri"/>
          <w:b w:val="0"/>
          <w:i w:val="0"/>
          <w:color w:val="17212B"/>
          <w:sz w:val="22"/>
        </w:rPr>
        <w:t>Which claims need a citation, and which usually do not.</w:t>
      </w:r>
    </w:p>
    <w:p>
      <w:pPr>
        <w:spacing w:after="140"/>
      </w:pPr>
      <w:r>
        <w:rPr>
          <w:rFonts w:ascii="Calibri" w:hAnsi="Calibri"/>
          <w:b/>
          <w:i w:val="0"/>
          <w:color w:val="2E74B5"/>
          <w:sz w:val="22"/>
        </w:rPr>
        <w:t xml:space="preserve">2 · PLACE  </w:t>
      </w:r>
      <w:r>
        <w:rPr>
          <w:rFonts w:ascii="Calibri" w:hAnsi="Calibri"/>
          <w:b w:val="0"/>
          <w:i w:val="0"/>
          <w:color w:val="17212B"/>
          <w:sz w:val="22"/>
        </w:rPr>
        <w:t>Put the citation immediately after the claim it supports.</w:t>
      </w:r>
    </w:p>
    <w:p>
      <w:pPr>
        <w:spacing w:after="140"/>
      </w:pPr>
      <w:r>
        <w:rPr>
          <w:rFonts w:ascii="Calibri" w:hAnsi="Calibri"/>
          <w:b/>
          <w:i w:val="0"/>
          <w:color w:val="2E74B5"/>
          <w:sz w:val="22"/>
        </w:rPr>
        <w:t xml:space="preserve">3 · SYNTHESISE  </w:t>
      </w:r>
      <w:r>
        <w:rPr>
          <w:rFonts w:ascii="Calibri" w:hAnsi="Calibri"/>
          <w:b w:val="0"/>
          <w:i w:val="0"/>
          <w:color w:val="17212B"/>
          <w:sz w:val="22"/>
        </w:rPr>
        <w:t>Use sources together instead of writing one paragraph per author.</w:t>
      </w:r>
    </w:p>
    <w:p>
      <w:pPr>
        <w:spacing w:after="140"/>
      </w:pPr>
      <w:r>
        <w:rPr>
          <w:rFonts w:ascii="Calibri" w:hAnsi="Calibri"/>
          <w:b/>
          <w:i w:val="0"/>
          <w:color w:val="2E74B5"/>
          <w:sz w:val="22"/>
        </w:rPr>
        <w:t xml:space="preserve">4 · VERIFY  </w:t>
      </w:r>
      <w:r>
        <w:rPr>
          <w:rFonts w:ascii="Calibri" w:hAnsi="Calibri"/>
          <w:b w:val="0"/>
          <w:i w:val="0"/>
          <w:color w:val="17212B"/>
          <w:sz w:val="22"/>
        </w:rPr>
        <w:t>Check the record, the claim and the final reference list.</w:t>
      </w:r>
    </w:p>
    <w:p>
      <w:pPr>
        <w:spacing w:before="100" w:after="160"/>
        <w:ind w:left="202" w:right="115"/>
        <w:shd w:fill="FFF4D6"/>
        <w:pBdr>
          <w:left w:val="single" w:sz="18" w:space="8" w:color="B8860B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IMPORTANT  </w:t>
      </w:r>
      <w:r>
        <w:rPr>
          <w:rFonts w:ascii="Calibri" w:hAnsi="Calibri"/>
          <w:b w:val="0"/>
          <w:i w:val="0"/>
          <w:color w:val="17212B"/>
          <w:sz w:val="21"/>
        </w:rPr>
        <w:t>The citations in this document are visible teaching examples, not live manager fields. Import the companion library and rebuild them in a practice copy to learn the workflow.</w:t>
      </w:r>
    </w:p>
    <w:p>
      <w:r>
        <w:br w:type="page"/>
      </w:r>
    </w:p>
    <w:p>
      <w:pPr>
        <w:spacing w:after="160"/>
      </w:pPr>
      <w:r>
        <w:rPr>
          <w:rFonts w:ascii="Calibri" w:hAnsi="Calibri"/>
          <w:b/>
          <w:i w:val="0"/>
          <w:color w:val="2E74B5"/>
          <w:sz w:val="18"/>
        </w:rPr>
        <w:t>THE MODEL TEXT</w:t>
      </w:r>
    </w:p>
    <w:p>
      <w:pPr>
        <w:pStyle w:val="Heading1"/>
      </w:pPr>
      <w:r>
        <w:t>Social isolation, loneliness and later-life health</w:t>
      </w:r>
    </w:p>
    <w:p>
      <w:r>
        <w:rPr>
          <w:rFonts w:ascii="Calibri" w:hAnsi="Calibri"/>
          <w:b/>
          <w:i w:val="0"/>
          <w:color w:val="2E74B5"/>
          <w:sz w:val="22"/>
        </w:rPr>
        <w:t xml:space="preserve">Demonstration style: author–date. </w:t>
      </w:r>
      <w:r>
        <w:rPr>
          <w:rFonts w:ascii="Calibri" w:hAnsi="Calibri"/>
          <w:b w:val="0"/>
          <w:i w:val="0"/>
          <w:color w:val="5D6873"/>
          <w:sz w:val="22"/>
        </w:rPr>
        <w:t>Exact punctuation varies by degree; the intellectual job of each citation does not.</w:t>
      </w:r>
    </w:p>
    <w:p>
      <w:r>
        <w:rPr>
          <w:rFonts w:ascii="Calibri" w:hAnsi="Calibri"/>
          <w:b w:val="0"/>
          <w:i w:val="0"/>
          <w:color w:val="17212B"/>
          <w:sz w:val="22"/>
        </w:rPr>
        <w:t xml:space="preserve">Social isolation and loneliness are related but not interchangeable. Social isolation describes a relatively objective scarcity of contact, whereas loneliness is the subjective experience that relationships are insufficient </w:t>
      </w:r>
      <w:r>
        <w:rPr>
          <w:rFonts w:ascii="Calibri" w:hAnsi="Calibri"/>
          <w:b/>
          <w:i w:val="0"/>
          <w:color w:val="1F4D78"/>
          <w:sz w:val="22"/>
          <w:shd w:fill="DDEBF7"/>
        </w:rPr>
        <w:t>(National Academies of Sciences, Engineering, and Medicine, 2020)</w:t>
      </w:r>
      <w:r>
        <w:rPr>
          <w:rFonts w:ascii="Calibri" w:hAnsi="Calibri"/>
          <w:b/>
          <w:i w:val="0"/>
          <w:color w:val="2E74B5"/>
          <w:sz w:val="18"/>
          <w:vertAlign w:val="superscript"/>
        </w:rPr>
        <w:t xml:space="preserve"> [1]</w:t>
      </w:r>
      <w:r>
        <w:rPr>
          <w:rFonts w:ascii="Calibri" w:hAnsi="Calibri"/>
          <w:b w:val="0"/>
          <w:i w:val="0"/>
          <w:color w:val="17212B"/>
          <w:sz w:val="22"/>
        </w:rPr>
        <w:t>. The distinction matters because a person may have few contacts without feeling lonely, or feel lonely while surrounded by other people.</w:t>
      </w:r>
      <w:r>
        <w:rPr>
          <w:rFonts w:ascii="Calibri" w:hAnsi="Calibri"/>
          <w:b/>
          <w:i w:val="0"/>
          <w:color w:val="2E74B5"/>
          <w:sz w:val="18"/>
          <w:vertAlign w:val="superscript"/>
        </w:rPr>
        <w:t xml:space="preserve"> [2]</w:t>
      </w:r>
    </w:p>
    <w:p>
      <w:pPr>
        <w:spacing w:before="100" w:after="160"/>
        <w:ind w:left="202" w:right="115"/>
        <w:shd w:fill="E7F5F7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1  CITE · A borrowed definition  </w:t>
      </w:r>
      <w:r>
        <w:rPr>
          <w:rFonts w:ascii="Calibri" w:hAnsi="Calibri"/>
          <w:b w:val="0"/>
          <w:i w:val="0"/>
          <w:color w:val="17212B"/>
          <w:sz w:val="21"/>
        </w:rPr>
        <w:t>The distinction came from a source, named at the end of that exact claim.</w:t>
      </w:r>
    </w:p>
    <w:p>
      <w:pPr>
        <w:spacing w:before="100" w:after="160"/>
        <w:ind w:left="202" w:right="115"/>
        <w:shd w:fill="FFF4D6"/>
        <w:pBdr>
          <w:left w:val="single" w:sz="18" w:space="8" w:color="B8860B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2  NO NEW CITATION · No citation pile  </w:t>
      </w:r>
      <w:r>
        <w:rPr>
          <w:rFonts w:ascii="Calibri" w:hAnsi="Calibri"/>
          <w:b w:val="0"/>
          <w:i w:val="0"/>
          <w:color w:val="17212B"/>
          <w:sz w:val="21"/>
        </w:rPr>
        <w:t>The next sentence explains the same cited distinction; repeating the citation would add clutter.</w:t>
      </w:r>
    </w:p>
    <w:p>
      <w:r>
        <w:rPr>
          <w:rFonts w:ascii="Calibri" w:hAnsi="Calibri"/>
          <w:b w:val="0"/>
          <w:i w:val="0"/>
          <w:color w:val="17212B"/>
          <w:sz w:val="22"/>
        </w:rPr>
        <w:t xml:space="preserve">Across prospective studies, </w:t>
      </w:r>
      <w:r>
        <w:rPr>
          <w:rFonts w:ascii="Calibri" w:hAnsi="Calibri"/>
          <w:b/>
          <w:i w:val="0"/>
          <w:color w:val="1F4D78"/>
          <w:sz w:val="22"/>
          <w:shd w:fill="DDEBF7"/>
        </w:rPr>
        <w:t>Holt-Lunstad et al. (2015)</w:t>
      </w:r>
      <w:r>
        <w:rPr>
          <w:rFonts w:ascii="Calibri" w:hAnsi="Calibri"/>
          <w:b/>
          <w:i w:val="0"/>
          <w:color w:val="2E74B5"/>
          <w:sz w:val="18"/>
          <w:vertAlign w:val="superscript"/>
        </w:rPr>
        <w:t xml:space="preserve"> [3]</w:t>
      </w:r>
      <w:r>
        <w:rPr>
          <w:rFonts w:ascii="Calibri" w:hAnsi="Calibri"/>
          <w:b w:val="0"/>
          <w:i w:val="0"/>
          <w:color w:val="17212B"/>
          <w:sz w:val="22"/>
        </w:rPr>
        <w:t xml:space="preserve"> reported that social isolation, loneliness and living alone were associated with 29%, 26% and 32% higher likelihoods of mortality, respectively. A separate meta-analysis found that poorer social relationships were associated with 29% higher risk of incident coronary heart disease and 32% higher risk of stroke </w:t>
      </w:r>
      <w:r>
        <w:rPr>
          <w:rFonts w:ascii="Calibri" w:hAnsi="Calibri"/>
          <w:b/>
          <w:i w:val="0"/>
          <w:color w:val="1F4D78"/>
          <w:sz w:val="22"/>
          <w:shd w:fill="DDEBF7"/>
        </w:rPr>
        <w:t>(Valtorta et al., 2016)</w:t>
      </w:r>
      <w:r>
        <w:rPr>
          <w:rFonts w:ascii="Calibri" w:hAnsi="Calibri"/>
          <w:b/>
          <w:i w:val="0"/>
          <w:color w:val="2E74B5"/>
          <w:sz w:val="18"/>
          <w:vertAlign w:val="superscript"/>
        </w:rPr>
        <w:t xml:space="preserve"> [4]</w:t>
      </w:r>
      <w:r>
        <w:rPr>
          <w:rFonts w:ascii="Calibri" w:hAnsi="Calibri"/>
          <w:b w:val="0"/>
          <w:i w:val="0"/>
          <w:color w:val="17212B"/>
          <w:sz w:val="22"/>
        </w:rPr>
        <w:t>.</w:t>
      </w:r>
    </w:p>
    <w:p>
      <w:pPr>
        <w:spacing w:before="100" w:after="160"/>
        <w:ind w:left="202" w:right="115"/>
        <w:shd w:fill="E7F5F7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3  CITE · Narrative citation  </w:t>
      </w:r>
      <w:r>
        <w:rPr>
          <w:rFonts w:ascii="Calibri" w:hAnsi="Calibri"/>
          <w:b w:val="0"/>
          <w:i w:val="0"/>
          <w:color w:val="17212B"/>
          <w:sz w:val="21"/>
        </w:rPr>
        <w:t>The authors form part of the sentence; the year follows. The percentages still belong to that source.</w:t>
      </w:r>
    </w:p>
    <w:p>
      <w:pPr>
        <w:spacing w:before="100" w:after="160"/>
        <w:ind w:left="202" w:right="115"/>
        <w:shd w:fill="E7F5F7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4  CITE · Citation at the claim  </w:t>
      </w:r>
      <w:r>
        <w:rPr>
          <w:rFonts w:ascii="Calibri" w:hAnsi="Calibri"/>
          <w:b w:val="0"/>
          <w:i w:val="0"/>
          <w:color w:val="17212B"/>
          <w:sz w:val="21"/>
        </w:rPr>
        <w:t>The citation follows the cardiovascular estimates, making its job unambiguous.</w:t>
      </w:r>
    </w:p>
    <w:p>
      <w:r>
        <w:rPr>
          <w:rFonts w:ascii="Calibri" w:hAnsi="Calibri"/>
          <w:b w:val="0"/>
          <w:i w:val="0"/>
          <w:color w:val="17212B"/>
          <w:sz w:val="22"/>
        </w:rPr>
        <w:t xml:space="preserve">A cohort analysis of 6,500 adults aged 52 years and older found that social isolation remained associated with mortality after adjustment for demographic and health factors, whereas loneliness did not </w:t>
      </w:r>
      <w:r>
        <w:rPr>
          <w:rFonts w:ascii="Calibri" w:hAnsi="Calibri"/>
          <w:b/>
          <w:i w:val="0"/>
          <w:color w:val="1F4D78"/>
          <w:sz w:val="22"/>
          <w:shd w:fill="DDEBF7"/>
        </w:rPr>
        <w:t>(Steptoe et al., 2013)</w:t>
      </w:r>
      <w:r>
        <w:rPr>
          <w:rFonts w:ascii="Calibri" w:hAnsi="Calibri"/>
          <w:b w:val="0"/>
          <w:i w:val="0"/>
          <w:color w:val="17212B"/>
          <w:sz w:val="22"/>
        </w:rPr>
        <w:t xml:space="preserve">. Taken together, the literature supports treating social connection as relevant to later-life health, but these observational findings do not prove that reducing loneliness alone will prevent death or cardiovascular disease </w:t>
      </w:r>
      <w:r>
        <w:rPr>
          <w:rFonts w:ascii="Calibri" w:hAnsi="Calibri"/>
          <w:b/>
          <w:i w:val="0"/>
          <w:color w:val="1F4D78"/>
          <w:sz w:val="22"/>
          <w:shd w:fill="DDEBF7"/>
        </w:rPr>
        <w:t>(Holt-Lunstad et al., 2015; Steptoe et al., 2013; Valtorta et al., 2016)</w:t>
      </w:r>
      <w:r>
        <w:rPr>
          <w:rFonts w:ascii="Calibri" w:hAnsi="Calibri"/>
          <w:b/>
          <w:i w:val="0"/>
          <w:color w:val="2E74B5"/>
          <w:sz w:val="18"/>
          <w:vertAlign w:val="superscript"/>
        </w:rPr>
        <w:t xml:space="preserve"> [5]</w:t>
      </w:r>
      <w:r>
        <w:rPr>
          <w:rFonts w:ascii="Calibri" w:hAnsi="Calibri"/>
          <w:b w:val="0"/>
          <w:i w:val="0"/>
          <w:color w:val="17212B"/>
          <w:sz w:val="22"/>
        </w:rPr>
        <w:t>. A strong dissertation should therefore state which construct is measured, how it is measured and which alternative explanations remain plausible.</w:t>
      </w:r>
      <w:r>
        <w:rPr>
          <w:rFonts w:ascii="Calibri" w:hAnsi="Calibri"/>
          <w:b/>
          <w:i w:val="0"/>
          <w:color w:val="2E74B5"/>
          <w:sz w:val="18"/>
          <w:vertAlign w:val="superscript"/>
        </w:rPr>
        <w:t xml:space="preserve"> [6]</w:t>
      </w:r>
    </w:p>
    <w:p>
      <w:pPr>
        <w:spacing w:before="100" w:after="160"/>
        <w:ind w:left="202" w:right="115"/>
        <w:shd w:fill="E7F5F7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5  CITE · Synthesis, not a catalogue  </w:t>
      </w:r>
      <w:r>
        <w:rPr>
          <w:rFonts w:ascii="Calibri" w:hAnsi="Calibri"/>
          <w:b w:val="0"/>
          <w:i w:val="0"/>
          <w:color w:val="17212B"/>
          <w:sz w:val="21"/>
        </w:rPr>
        <w:t>Three sources support one proportionate conclusion instead of a paper-by-paper list.</w:t>
      </w:r>
    </w:p>
    <w:p>
      <w:pPr>
        <w:spacing w:before="100" w:after="160"/>
        <w:ind w:left="202" w:right="115"/>
        <w:shd w:fill="FFF4D6"/>
        <w:pBdr>
          <w:left w:val="single" w:sz="18" w:space="8" w:color="B8860B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6  NO NEW CITATION · The writer’s recommendation  </w:t>
      </w:r>
      <w:r>
        <w:rPr>
          <w:rFonts w:ascii="Calibri" w:hAnsi="Calibri"/>
          <w:b w:val="0"/>
          <w:i w:val="0"/>
          <w:color w:val="17212B"/>
          <w:sz w:val="21"/>
        </w:rPr>
        <w:t>This signposted recommendation adds no new external fact, so it does not automatically need another citation.</w:t>
      </w:r>
    </w:p>
    <w:p>
      <w:r>
        <w:br w:type="page"/>
      </w:r>
    </w:p>
    <w:p>
      <w:pPr>
        <w:spacing w:after="160"/>
      </w:pPr>
      <w:r>
        <w:rPr>
          <w:rFonts w:ascii="Calibri" w:hAnsi="Calibri"/>
          <w:b/>
          <w:i w:val="0"/>
          <w:color w:val="2E74B5"/>
          <w:sz w:val="18"/>
        </w:rPr>
        <w:t>THE JUDGEMENT BEHIND THE CITATIONS</w:t>
      </w:r>
    </w:p>
    <w:p>
      <w:pPr>
        <w:pStyle w:val="Heading1"/>
      </w:pPr>
      <w:r>
        <w:t>Does every assertion need a reference?</w:t>
      </w:r>
    </w:p>
    <w:p>
      <w:pPr>
        <w:spacing w:before="100" w:after="160"/>
        <w:ind w:left="202" w:right="115"/>
        <w:shd w:fill="E8EEF5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SHORT ANSWER  </w:t>
      </w:r>
      <w:r>
        <w:rPr>
          <w:rFonts w:ascii="Calibri" w:hAnsi="Calibri"/>
          <w:b w:val="0"/>
          <w:i w:val="0"/>
          <w:color w:val="17212B"/>
          <w:sz w:val="21"/>
        </w:rPr>
        <w:t>No. Cite every non-obvious factual claim or borrowed contribution. Do not add citations mechanically to every sentence.</w:t>
      </w:r>
    </w:p>
    <w:p>
      <w:pPr>
        <w:pStyle w:val="Heading2"/>
      </w:pPr>
      <w:r>
        <w:t>Cite it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FACT OR NUMBER  </w:t>
      </w:r>
      <w:r>
        <w:rPr>
          <w:rFonts w:ascii="Calibri" w:hAnsi="Calibri"/>
          <w:b w:val="0"/>
          <w:i w:val="0"/>
          <w:color w:val="17212B"/>
          <w:sz w:val="22"/>
        </w:rPr>
        <w:t>A prevalence, effect estimate, date, sample size or claim about what happened.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BORROWED IDEA  </w:t>
      </w:r>
      <w:r>
        <w:rPr>
          <w:rFonts w:ascii="Calibri" w:hAnsi="Calibri"/>
          <w:b w:val="0"/>
          <w:i w:val="0"/>
          <w:color w:val="17212B"/>
          <w:sz w:val="22"/>
        </w:rPr>
        <w:t>A definition, theory, framework, interpretation or argument developed by someone else.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SOURCE USE  </w:t>
      </w:r>
      <w:r>
        <w:rPr>
          <w:rFonts w:ascii="Calibri" w:hAnsi="Calibri"/>
          <w:b w:val="0"/>
          <w:i w:val="0"/>
          <w:color w:val="17212B"/>
          <w:sz w:val="22"/>
        </w:rPr>
        <w:t>A quotation, paraphrase, dataset, measure, method, table, figure or image.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CLAIM ABOUT THE LITERATURE  </w:t>
      </w:r>
      <w:r>
        <w:rPr>
          <w:rFonts w:ascii="Calibri" w:hAnsi="Calibri"/>
          <w:b w:val="0"/>
          <w:i w:val="0"/>
          <w:color w:val="17212B"/>
          <w:sz w:val="22"/>
        </w:rPr>
        <w:t>Statements that evidence agrees, conflicts, is limited or leaves a gap.</w:t>
      </w:r>
    </w:p>
    <w:p>
      <w:pPr>
        <w:pStyle w:val="Heading2"/>
      </w:pPr>
      <w:r>
        <w:t>Usually no new citation</w:t>
      </w:r>
    </w:p>
    <w:p>
      <w:pPr>
        <w:spacing w:after="120"/>
      </w:pPr>
      <w:r>
        <w:rPr>
          <w:rFonts w:ascii="Calibri" w:hAnsi="Calibri"/>
          <w:b/>
          <w:i w:val="0"/>
          <w:color w:val="8A6200"/>
          <w:sz w:val="22"/>
        </w:rPr>
        <w:t xml:space="preserve">YOUR ROADMAP  </w:t>
      </w:r>
      <w:r>
        <w:rPr>
          <w:rFonts w:ascii="Calibri" w:hAnsi="Calibri"/>
          <w:b w:val="0"/>
          <w:i w:val="0"/>
          <w:color w:val="17212B"/>
          <w:sz w:val="22"/>
        </w:rPr>
        <w:t>‘This section compares three explanations.’</w:t>
      </w:r>
    </w:p>
    <w:p>
      <w:pPr>
        <w:spacing w:after="120"/>
      </w:pPr>
      <w:r>
        <w:rPr>
          <w:rFonts w:ascii="Calibri" w:hAnsi="Calibri"/>
          <w:b/>
          <w:i w:val="0"/>
          <w:color w:val="8A6200"/>
          <w:sz w:val="22"/>
        </w:rPr>
        <w:t xml:space="preserve">YOUR OWN WORK  </w:t>
      </w:r>
      <w:r>
        <w:rPr>
          <w:rFonts w:ascii="Calibri" w:hAnsi="Calibri"/>
          <w:b w:val="0"/>
          <w:i w:val="0"/>
          <w:color w:val="17212B"/>
          <w:sz w:val="22"/>
        </w:rPr>
        <w:t>A transparent description of what you did, found or calculated in this project.</w:t>
      </w:r>
    </w:p>
    <w:p>
      <w:pPr>
        <w:spacing w:after="120"/>
      </w:pPr>
      <w:r>
        <w:rPr>
          <w:rFonts w:ascii="Calibri" w:hAnsi="Calibri"/>
          <w:b/>
          <w:i w:val="0"/>
          <w:color w:val="8A6200"/>
          <w:sz w:val="22"/>
        </w:rPr>
        <w:t xml:space="preserve">YOUR SIGNPOSTED JUDGEMENT  </w:t>
      </w:r>
      <w:r>
        <w:rPr>
          <w:rFonts w:ascii="Calibri" w:hAnsi="Calibri"/>
          <w:b w:val="0"/>
          <w:i w:val="0"/>
          <w:color w:val="17212B"/>
          <w:sz w:val="22"/>
        </w:rPr>
        <w:t>A recommendation or interpretation that clearly follows from the evidence just cited.</w:t>
      </w:r>
    </w:p>
    <w:p>
      <w:pPr>
        <w:spacing w:after="120"/>
      </w:pPr>
      <w:r>
        <w:rPr>
          <w:rFonts w:ascii="Calibri" w:hAnsi="Calibri"/>
          <w:b/>
          <w:i w:val="0"/>
          <w:color w:val="8A6200"/>
          <w:sz w:val="22"/>
        </w:rPr>
        <w:t xml:space="preserve">GENUINE COMMON KNOWLEDGE  </w:t>
      </w:r>
      <w:r>
        <w:rPr>
          <w:rFonts w:ascii="Calibri" w:hAnsi="Calibri"/>
          <w:b w:val="0"/>
          <w:i w:val="0"/>
          <w:color w:val="17212B"/>
          <w:sz w:val="22"/>
        </w:rPr>
        <w:t>Only when it is stable, widely known in the intended field and not contested.</w:t>
      </w:r>
    </w:p>
    <w:p>
      <w:pPr>
        <w:spacing w:before="100" w:after="160"/>
        <w:ind w:left="202" w:right="115"/>
        <w:shd w:fill="FFF4D6"/>
        <w:pBdr>
          <w:left w:val="single" w:sz="18" w:space="8" w:color="B8860B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WHEN UNSURE  </w:t>
      </w:r>
      <w:r>
        <w:rPr>
          <w:rFonts w:ascii="Calibri" w:hAnsi="Calibri"/>
          <w:b w:val="0"/>
          <w:i w:val="0"/>
          <w:color w:val="17212B"/>
          <w:sz w:val="21"/>
        </w:rPr>
        <w:t>Ask: could the reader reasonably challenge this, or would they need the source to verify it? If yes, cite. Your handbook and supervisor remain the final authority.</w:t>
      </w:r>
    </w:p>
    <w:p>
      <w:r>
        <w:br w:type="page"/>
      </w:r>
    </w:p>
    <w:p>
      <w:pPr>
        <w:spacing w:after="160"/>
      </w:pPr>
      <w:r>
        <w:rPr>
          <w:rFonts w:ascii="Calibri" w:hAnsi="Calibri"/>
          <w:b/>
          <w:i w:val="0"/>
          <w:color w:val="2E74B5"/>
          <w:sz w:val="18"/>
        </w:rPr>
        <w:t>REFERENCE LIST</w:t>
      </w:r>
    </w:p>
    <w:p>
      <w:pPr>
        <w:pStyle w:val="Heading1"/>
      </w:pPr>
      <w:r>
        <w:t>The four records behind the example</w:t>
      </w:r>
    </w:p>
    <w:p>
      <w:r>
        <w:rPr>
          <w:rFonts w:ascii="Calibri" w:hAnsi="Calibri"/>
          <w:b w:val="0"/>
          <w:i w:val="0"/>
          <w:color w:val="5D6873"/>
          <w:sz w:val="22"/>
        </w:rPr>
        <w:t>These are formatted in a clear author–date demonstration style. Use your required EndNote or Zotero output style for assessed work.</w:t>
      </w:r>
    </w:p>
    <w:p>
      <w:pPr>
        <w:spacing w:after="180"/>
        <w:ind w:left="403" w:hanging="403"/>
      </w:pPr>
      <w:r>
        <w:rPr>
          <w:rFonts w:ascii="Calibri" w:hAnsi="Calibri"/>
          <w:b w:val="0"/>
          <w:i w:val="0"/>
          <w:color w:val="17212B"/>
          <w:sz w:val="21"/>
        </w:rPr>
        <w:t>Holt-Lunstad, J., Smith, T.B., Baker, M., Harris, T. and Stephenson, D. (2015) ‘Loneliness and social isolation as risk factors for mortality: a meta-analytic review’, Perspectives on Psychological Science, 10(2), pp. 227–237. doi: 10.1177/1745691614568352.</w:t>
      </w:r>
    </w:p>
    <w:p>
      <w:pPr>
        <w:spacing w:after="180"/>
        <w:ind w:left="403" w:hanging="403"/>
      </w:pPr>
      <w:r>
        <w:rPr>
          <w:rFonts w:ascii="Calibri" w:hAnsi="Calibri"/>
          <w:b w:val="0"/>
          <w:i w:val="0"/>
          <w:color w:val="17212B"/>
          <w:sz w:val="21"/>
        </w:rPr>
        <w:t>National Academies of Sciences, Engineering, and Medicine (2020) Social Isolation and Loneliness in Older Adults: Opportunities for the Health Care System. Washington, DC: National Academies Press. doi: 10.17226/25663.</w:t>
      </w:r>
    </w:p>
    <w:p>
      <w:pPr>
        <w:spacing w:after="180"/>
        <w:ind w:left="403" w:hanging="403"/>
      </w:pPr>
      <w:r>
        <w:rPr>
          <w:rFonts w:ascii="Calibri" w:hAnsi="Calibri"/>
          <w:b w:val="0"/>
          <w:i w:val="0"/>
          <w:color w:val="17212B"/>
          <w:sz w:val="21"/>
        </w:rPr>
        <w:t>Steptoe, A., Shankar, A., Demakakos, P. and Wardle, J. (2013) ‘Social isolation, loneliness, and all-cause mortality in older men and women’, Proceedings of the National Academy of Sciences, 110(15), pp. 5797–5801. doi: 10.1073/pnas.1219686110.</w:t>
      </w:r>
    </w:p>
    <w:p>
      <w:pPr>
        <w:spacing w:after="180"/>
        <w:ind w:left="403" w:hanging="403"/>
      </w:pPr>
      <w:r>
        <w:rPr>
          <w:rFonts w:ascii="Calibri" w:hAnsi="Calibri"/>
          <w:b w:val="0"/>
          <w:i w:val="0"/>
          <w:color w:val="17212B"/>
          <w:sz w:val="21"/>
        </w:rPr>
        <w:t>Valtorta, N.K., Kanaan, M., Gilbody, S., Ronzi, S. and Hanratty, B. (2016) ‘Loneliness and social isolation as risk factors for coronary heart disease and stroke: systematic review and meta-analysis of longitudinal observational studies’, Heart, 102(13), pp. 1009–1016. doi: 10.1136/heartjnl-2015-308790.</w:t>
      </w:r>
    </w:p>
    <w:p>
      <w:pPr>
        <w:pStyle w:val="Heading2"/>
      </w:pPr>
      <w:r>
        <w:t>Before trusting imported metadata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AUTHORS  </w:t>
      </w:r>
      <w:r>
        <w:rPr>
          <w:rFonts w:ascii="Calibri" w:hAnsi="Calibri"/>
          <w:b w:val="0"/>
          <w:i w:val="0"/>
          <w:color w:val="17212B"/>
          <w:sz w:val="22"/>
        </w:rPr>
        <w:t>Correct order, spelling and corporate-author handling.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SOURCE  </w:t>
      </w:r>
      <w:r>
        <w:rPr>
          <w:rFonts w:ascii="Calibri" w:hAnsi="Calibri"/>
          <w:b w:val="0"/>
          <w:i w:val="0"/>
          <w:color w:val="17212B"/>
          <w:sz w:val="22"/>
        </w:rPr>
        <w:t>Correct item type, journal or publisher, year, volume, issue and pages.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IDENTIFIER  </w:t>
      </w:r>
      <w:r>
        <w:rPr>
          <w:rFonts w:ascii="Calibri" w:hAnsi="Calibri"/>
          <w:b w:val="0"/>
          <w:i w:val="0"/>
          <w:color w:val="17212B"/>
          <w:sz w:val="22"/>
        </w:rPr>
        <w:t>A working DOI or stable URL that belongs to this exact source.</w:t>
      </w:r>
    </w:p>
    <w:p>
      <w:pPr>
        <w:spacing w:after="120"/>
      </w:pPr>
      <w:r>
        <w:rPr>
          <w:rFonts w:ascii="Calibri" w:hAnsi="Calibri"/>
          <w:b/>
          <w:i w:val="0"/>
          <w:color w:val="2E74B5"/>
          <w:sz w:val="22"/>
        </w:rPr>
        <w:t xml:space="preserve">OUTPUT  </w:t>
      </w:r>
      <w:r>
        <w:rPr>
          <w:rFonts w:ascii="Calibri" w:hAnsi="Calibri"/>
          <w:b w:val="0"/>
          <w:i w:val="0"/>
          <w:color w:val="17212B"/>
          <w:sz w:val="22"/>
        </w:rPr>
        <w:t>Every in-text citation has a matching reference and every listed reference is used.</w:t>
      </w:r>
    </w:p>
    <w:p>
      <w:r>
        <w:br w:type="page"/>
      </w:r>
    </w:p>
    <w:p>
      <w:pPr>
        <w:spacing w:after="160"/>
      </w:pPr>
      <w:r>
        <w:rPr>
          <w:rFonts w:ascii="Calibri" w:hAnsi="Calibri"/>
          <w:b/>
          <w:i w:val="0"/>
          <w:color w:val="2E74B5"/>
          <w:sz w:val="18"/>
        </w:rPr>
        <w:t>TEN-MINUTE PRACTICE</w:t>
      </w:r>
    </w:p>
    <w:p>
      <w:pPr>
        <w:pStyle w:val="Heading1"/>
      </w:pPr>
      <w:r>
        <w:t>Rebuild the example in your own manager</w:t>
      </w:r>
    </w:p>
    <w:p>
      <w:pPr>
        <w:spacing w:before="100" w:after="160"/>
        <w:ind w:left="202" w:right="115"/>
        <w:shd w:fill="E8EEF5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SAFE PRACTICE  </w:t>
      </w:r>
      <w:r>
        <w:rPr>
          <w:rFonts w:ascii="Calibri" w:hAnsi="Calibri"/>
          <w:b w:val="0"/>
          <w:i w:val="0"/>
          <w:color w:val="17212B"/>
          <w:sz w:val="21"/>
        </w:rPr>
        <w:t>Import into a new practice library or collection. The files contain records, tags and teaching notes, with no copyrighted PDFs.</w:t>
      </w:r>
    </w:p>
    <w:p>
      <w:pPr>
        <w:pStyle w:val="Heading2"/>
      </w:pPr>
      <w:r>
        <w:t>EndNote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01  </w:t>
      </w:r>
      <w:r>
        <w:rPr>
          <w:rFonts w:ascii="Calibri" w:hAnsi="Calibri"/>
          <w:b w:val="0"/>
          <w:i w:val="0"/>
          <w:color w:val="17212B"/>
          <w:sz w:val="22"/>
        </w:rPr>
        <w:t>Import gerostats-example-library-endnote.enw with the EndNote Import filter.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02  </w:t>
      </w:r>
      <w:r>
        <w:rPr>
          <w:rFonts w:ascii="Calibri" w:hAnsi="Calibri"/>
          <w:b w:val="0"/>
          <w:i w:val="0"/>
          <w:color w:val="17212B"/>
          <w:sz w:val="22"/>
        </w:rPr>
        <w:t>Open each record and verify its type, authors, year, title, source, pages and DOI.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03  </w:t>
      </w:r>
      <w:r>
        <w:rPr>
          <w:rFonts w:ascii="Calibri" w:hAnsi="Calibri"/>
          <w:b w:val="0"/>
          <w:i w:val="0"/>
          <w:color w:val="17212B"/>
          <w:sz w:val="22"/>
        </w:rPr>
        <w:t>In a copy of this document, replace the visible citations using Cite While You Write.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04  </w:t>
      </w:r>
      <w:r>
        <w:rPr>
          <w:rFonts w:ascii="Calibri" w:hAnsi="Calibri"/>
          <w:b w:val="0"/>
          <w:i w:val="0"/>
          <w:color w:val="17212B"/>
          <w:sz w:val="22"/>
        </w:rPr>
        <w:t>Change output style, refresh, then inspect every citation and reference.</w:t>
      </w:r>
    </w:p>
    <w:p>
      <w:pPr>
        <w:pStyle w:val="Heading2"/>
      </w:pPr>
      <w:r>
        <w:t>Zotero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01  </w:t>
      </w:r>
      <w:r>
        <w:rPr>
          <w:rFonts w:ascii="Calibri" w:hAnsi="Calibri"/>
          <w:b w:val="0"/>
          <w:i w:val="0"/>
          <w:color w:val="17212B"/>
          <w:sz w:val="22"/>
        </w:rPr>
        <w:t>Import gerostats-example-library-zotero.bib into a new practice collection.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02  </w:t>
      </w:r>
      <w:r>
        <w:rPr>
          <w:rFonts w:ascii="Calibri" w:hAnsi="Calibri"/>
          <w:b w:val="0"/>
          <w:i w:val="0"/>
          <w:color w:val="17212B"/>
          <w:sz w:val="22"/>
        </w:rPr>
        <w:t>Open each item and verify its type, authors, year, title, source, pages and DOI.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03  </w:t>
      </w:r>
      <w:r>
        <w:rPr>
          <w:rFonts w:ascii="Calibri" w:hAnsi="Calibri"/>
          <w:b w:val="0"/>
          <w:i w:val="0"/>
          <w:color w:val="17212B"/>
          <w:sz w:val="22"/>
        </w:rPr>
        <w:t>In a copy of this document, replace the visible citations using the Zotero word-processor plugin.</w:t>
      </w:r>
    </w:p>
    <w:p>
      <w:pPr>
        <w:spacing w:after="80"/>
      </w:pPr>
      <w:r>
        <w:rPr>
          <w:rFonts w:ascii="Calibri" w:hAnsi="Calibri"/>
          <w:b/>
          <w:i w:val="0"/>
          <w:color w:val="2E74B5"/>
          <w:sz w:val="22"/>
        </w:rPr>
        <w:t xml:space="preserve">04  </w:t>
      </w:r>
      <w:r>
        <w:rPr>
          <w:rFonts w:ascii="Calibri" w:hAnsi="Calibri"/>
          <w:b w:val="0"/>
          <w:i w:val="0"/>
          <w:color w:val="17212B"/>
          <w:sz w:val="22"/>
        </w:rPr>
        <w:t>Change document preferences, refresh, then inspect every citation and reference.</w:t>
      </w:r>
    </w:p>
    <w:p>
      <w:pPr>
        <w:spacing w:before="100" w:after="160"/>
        <w:ind w:left="202" w:right="115"/>
        <w:shd w:fill="E7F5F7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1F4D78"/>
          <w:sz w:val="21"/>
        </w:rPr>
        <w:t xml:space="preserve">YOU HAVE GOT IT WHEN  </w:t>
      </w:r>
      <w:r>
        <w:rPr>
          <w:rFonts w:ascii="Calibri" w:hAnsi="Calibri"/>
          <w:b w:val="0"/>
          <w:i w:val="0"/>
          <w:color w:val="17212B"/>
          <w:sz w:val="21"/>
        </w:rPr>
        <w:t>You can explain why each citation is present, identify the exact claim it supports, correct a bad record once in the library and regenerate a clean reference list without manual patching.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D6873"/>
        <w:sz w:val="18"/>
      </w:rPr>
      <w:t xml:space="preserve">Page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873"/>
        <w:sz w:val="17"/>
      </w:rPr>
      <w:t>REFERENCING WORKED EXAMPLE  ·  ENDNOTE + ZOTERO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1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referencing worked example</dc:title>
  <dc:subject>EndNote and Zotero teaching pack</dc:subject>
  <dc:creator>Andrew Kingston</dc:creator>
  <cp:keywords>referencing, EndNote, Zotero, academic writing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